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31C7" w14:textId="13E06EF2" w:rsidR="003C3216" w:rsidRPr="0017250E" w:rsidRDefault="003C3216" w:rsidP="003C3216">
      <w:pPr>
        <w:rPr>
          <w:b/>
          <w:bCs/>
          <w:color w:val="FF0000"/>
          <w:sz w:val="38"/>
          <w:szCs w:val="38"/>
          <w:rtl/>
        </w:rPr>
      </w:pPr>
      <w:r w:rsidRPr="0017250E">
        <w:rPr>
          <w:b/>
          <w:bCs/>
          <w:color w:val="FF0000"/>
          <w:sz w:val="38"/>
          <w:szCs w:val="38"/>
        </w:rPr>
        <w:t>What's</w:t>
      </w:r>
      <w:r w:rsidRPr="003C3216">
        <w:rPr>
          <w:b/>
          <w:bCs/>
          <w:sz w:val="32"/>
          <w:szCs w:val="32"/>
        </w:rPr>
        <w:t xml:space="preserve"> </w:t>
      </w:r>
      <w:r w:rsidRPr="0017250E">
        <w:rPr>
          <w:b/>
          <w:bCs/>
          <w:color w:val="FF0000"/>
          <w:sz w:val="38"/>
          <w:szCs w:val="38"/>
        </w:rPr>
        <w:t>new in cardiovascular medicine</w:t>
      </w:r>
      <w:r w:rsidRPr="0017250E">
        <w:rPr>
          <w:b/>
          <w:bCs/>
          <w:color w:val="FF0000"/>
          <w:sz w:val="38"/>
          <w:szCs w:val="38"/>
        </w:rPr>
        <w:t xml:space="preserve">   </w:t>
      </w:r>
      <w:r w:rsidRPr="0017250E">
        <w:rPr>
          <w:b/>
          <w:bCs/>
          <w:color w:val="00B050"/>
          <w:sz w:val="38"/>
          <w:szCs w:val="38"/>
        </w:rPr>
        <w:t>March 2025</w:t>
      </w:r>
    </w:p>
    <w:p w14:paraId="2A340963" w14:textId="3687E112" w:rsidR="00EA4928" w:rsidRPr="00EA4928" w:rsidRDefault="00EA4928" w:rsidP="00EA4928">
      <w:r w:rsidRPr="00EA4928">
        <w:rPr>
          <w:b/>
          <w:bCs/>
        </w:rPr>
        <w:t>ARRHYTHMIAS</w:t>
      </w:r>
    </w:p>
    <w:p w14:paraId="2958DCD4" w14:textId="77777777" w:rsidR="00EA4928" w:rsidRPr="00EA4928" w:rsidRDefault="00EA4928" w:rsidP="00EA4928">
      <w:r w:rsidRPr="00EA4928">
        <w:rPr>
          <w:b/>
          <w:bCs/>
        </w:rPr>
        <w:t>Competing risks when resuming direct oral anticoagulants after intracerebral hemorrhage (March 2025)</w:t>
      </w:r>
    </w:p>
    <w:p w14:paraId="511C7DE4" w14:textId="77777777" w:rsidR="00EA4928" w:rsidRPr="00EA4928" w:rsidRDefault="00EA4928" w:rsidP="00EA4928">
      <w:r w:rsidRPr="00EA4928">
        <w:t>Patients with atrial fibrillation and intracerebral hemorrhage (ICH) often have long-term competing risks of ischemic stroke and recurrent ICH. Limited data are available to help quantify these risks in patients taking direct oral anticoagulants (DOACs). In an open-label trial of 319 patients with prior ICH and atrial fibrillation who were randomly assigned to treatment with a DOAC or withholding anticoagulation, the subsequent ischemic stroke rate was lower in those assigned to a DOAC (0.8 versus 8.6 per 100 patient-years), but this benefit was partially offset by an increase in ICH recurrence (5 versus 0.8 per 100 patient-years) [</w:t>
      </w:r>
      <w:hyperlink r:id="rId4" w:history="1">
        <w:r w:rsidRPr="00EA4928">
          <w:rPr>
            <w:rStyle w:val="Hyperlink"/>
          </w:rPr>
          <w:t>1</w:t>
        </w:r>
      </w:hyperlink>
      <w:r w:rsidRPr="00EA4928">
        <w:t>]. All-cause mortality was similar between groups, with wide confidence intervals. These data support the feasibility of resuming anticoagulation with a DOAC in selected patients with ICH but highlight the importance of shared decision-making incorporating these competing risks. (See </w:t>
      </w:r>
      <w:hyperlink r:id="rId5" w:anchor="H172077892" w:history="1">
        <w:r w:rsidRPr="00EA4928">
          <w:rPr>
            <w:rStyle w:val="Hyperlink"/>
          </w:rPr>
          <w:t>"Spontaneous intracerebral hemorrhage: Secondary prevention and long-term prognosis", section on 'Therapeutic options'</w:t>
        </w:r>
      </w:hyperlink>
      <w:r w:rsidRPr="00EA4928">
        <w:t>.)</w:t>
      </w:r>
    </w:p>
    <w:p w14:paraId="68E78E37" w14:textId="77777777" w:rsidR="00EA4928" w:rsidRPr="00EA4928" w:rsidRDefault="00EA4928" w:rsidP="00EA4928">
      <w:r w:rsidRPr="00EA4928">
        <w:rPr>
          <w:b/>
          <w:bCs/>
        </w:rPr>
        <w:t>Conduction system pacing as an alternative to right ventricular pacing (March 2025)</w:t>
      </w:r>
    </w:p>
    <w:p w14:paraId="1647C487" w14:textId="77777777" w:rsidR="00EA4928" w:rsidRPr="00EA4928" w:rsidRDefault="00EA4928" w:rsidP="00EA4928">
      <w:r w:rsidRPr="00EA4928">
        <w:t>Left bundle (LB) and His bundle (HB) pacing, collectively known as conduction system pacing, are alternatives to traditional right ventricular (RV) pacing; while LB pacing has a lower rate of complications than HB pacing, the clinical benefits of LB pacing are uncertain. In a large retrospective study that compared nearly 6200 patients who underwent conduction system pacing with nearly 17,000 patients who underwent traditional RV pacing, conduction system pacing was associated with a lower risk of heart failure hospitalization (hazard ratio [HR] 0.70, 95% CI 0.52-0.94) and all-cause mortality (HR 0.66, 95% CI 0.57-0.77) [</w:t>
      </w:r>
      <w:hyperlink r:id="rId6" w:history="1">
        <w:r w:rsidRPr="00EA4928">
          <w:rPr>
            <w:rStyle w:val="Hyperlink"/>
          </w:rPr>
          <w:t>2</w:t>
        </w:r>
      </w:hyperlink>
      <w:r w:rsidRPr="00EA4928">
        <w:t>]. LB pacing was associated with comparable clinical outcomes and lower complication rates compared with HB pacing. LB pacing may be a good alternative for patients who are anticipated to require frequent ventricular pacing, such as those with atrioventricular block. (See </w:t>
      </w:r>
      <w:hyperlink r:id="rId7" w:anchor="H2800492086" w:history="1">
        <w:r w:rsidRPr="00EA4928">
          <w:rPr>
            <w:rStyle w:val="Hyperlink"/>
          </w:rPr>
          <w:t>"Permanent cardiac pacing: Overview of devices and indications", section on 'Conduction system (His or left bundle) pacing'</w:t>
        </w:r>
      </w:hyperlink>
      <w:r w:rsidRPr="00EA4928">
        <w:t>.)</w:t>
      </w:r>
    </w:p>
    <w:p w14:paraId="5A4B1BC6" w14:textId="77777777" w:rsidR="00EA4928" w:rsidRPr="00EA4928" w:rsidRDefault="00EA4928" w:rsidP="00EA4928">
      <w:r w:rsidRPr="00EA4928">
        <w:rPr>
          <w:b/>
          <w:bCs/>
        </w:rPr>
        <w:t>Bleeding risk with direct oral anticoagulants (March 2025)</w:t>
      </w:r>
    </w:p>
    <w:p w14:paraId="0E7565A2" w14:textId="77777777" w:rsidR="00EA4928" w:rsidRPr="00EA4928" w:rsidRDefault="00EA4928" w:rsidP="00EA4928">
      <w:r w:rsidRPr="00EA4928">
        <w:t>Direct oral anticoagulants (DOACs) are often preferred to </w:t>
      </w:r>
      <w:hyperlink r:id="rId8" w:history="1">
        <w:r w:rsidRPr="00EA4928">
          <w:rPr>
            <w:rStyle w:val="Hyperlink"/>
          </w:rPr>
          <w:t>warfarin</w:t>
        </w:r>
      </w:hyperlink>
      <w:r w:rsidRPr="00EA4928">
        <w:t> since they do not require routine monitoring, but bleeding risks are uncertain. A new meta-analysis of data from randomized trials involving over 26,000 individuals prescribed a DOAC or low-dose </w:t>
      </w:r>
      <w:hyperlink r:id="rId9" w:history="1">
        <w:r w:rsidRPr="00EA4928">
          <w:rPr>
            <w:rStyle w:val="Hyperlink"/>
          </w:rPr>
          <w:t>aspirin</w:t>
        </w:r>
      </w:hyperlink>
      <w:r w:rsidRPr="00EA4928">
        <w:t xml:space="preserve"> reported that bleeding risks with DOACs were similar to low-dose aspirin, which </w:t>
      </w:r>
      <w:r w:rsidRPr="00EA4928">
        <w:lastRenderedPageBreak/>
        <w:t>carries a small increased risk [</w:t>
      </w:r>
      <w:hyperlink r:id="rId10" w:history="1">
        <w:r w:rsidRPr="00EA4928">
          <w:rPr>
            <w:rStyle w:val="Hyperlink"/>
          </w:rPr>
          <w:t>3</w:t>
        </w:r>
      </w:hyperlink>
      <w:r w:rsidRPr="00EA4928">
        <w:t>]. However, clinicians should use caution when comparing bleeding risks between DOACs from different trials, as trial populations may differ and data from direct comparisons are limited. (See </w:t>
      </w:r>
      <w:hyperlink r:id="rId11" w:anchor="H398712348" w:history="1">
        <w:r w:rsidRPr="00EA4928">
          <w:rPr>
            <w:rStyle w:val="Hyperlink"/>
          </w:rPr>
          <w:t>"Risks and prevention of bleeding with oral anticoagulants", section on 'Drug class'</w:t>
        </w:r>
      </w:hyperlink>
      <w:r w:rsidRPr="00EA4928">
        <w:t>.)</w:t>
      </w:r>
    </w:p>
    <w:p w14:paraId="6F08798B" w14:textId="77777777" w:rsidR="00067406" w:rsidRPr="00067406" w:rsidRDefault="00067406" w:rsidP="00067406">
      <w:r w:rsidRPr="00067406">
        <w:rPr>
          <w:b/>
          <w:bCs/>
        </w:rPr>
        <w:t>HEART FAILURE</w:t>
      </w:r>
    </w:p>
    <w:p w14:paraId="332BC2E2" w14:textId="77777777" w:rsidR="00067406" w:rsidRPr="00067406" w:rsidRDefault="00067406" w:rsidP="00067406">
      <w:r w:rsidRPr="00067406">
        <w:rPr>
          <w:b/>
          <w:bCs/>
        </w:rPr>
        <w:t>Society of Critical Care Medicine guidelines on critical care ultrasonography use (March 2025)</w:t>
      </w:r>
    </w:p>
    <w:p w14:paraId="30E01578" w14:textId="77777777" w:rsidR="00067406" w:rsidRPr="00067406" w:rsidRDefault="00067406" w:rsidP="00067406">
      <w:r w:rsidRPr="00067406">
        <w:t>The Society of Critical Care Medicine (SCCM) recently updated its guidelines on the use of bedside critical care ultrasonography (CCUS) [</w:t>
      </w:r>
      <w:hyperlink r:id="rId12" w:history="1">
        <w:r w:rsidRPr="00067406">
          <w:rPr>
            <w:rStyle w:val="Hyperlink"/>
          </w:rPr>
          <w:t>16</w:t>
        </w:r>
      </w:hyperlink>
      <w:r w:rsidRPr="00067406">
        <w:t>]. The SCCM conditionally recommended CCUS use in patients with septic shock, acute respiratory failure, and acute cardiogenic shock as well as in patients with unclear volume status. It was unable to make a clear recommendation for CCUS use in patients undergoing cardiopulmonary resuscitation. We agree with these recommendations. (See </w:t>
      </w:r>
      <w:hyperlink r:id="rId13" w:anchor="H13030268" w:history="1">
        <w:r w:rsidRPr="00067406">
          <w:rPr>
            <w:rStyle w:val="Hyperlink"/>
          </w:rPr>
          <w:t>"Indications for bedside ultrasonography in the critically ill adult patient", section on 'Introduction'</w:t>
        </w:r>
      </w:hyperlink>
      <w:r w:rsidRPr="00067406">
        <w:t>.)</w:t>
      </w:r>
    </w:p>
    <w:p w14:paraId="0A61AF71" w14:textId="77777777" w:rsidR="00067406" w:rsidRPr="00067406" w:rsidRDefault="00067406" w:rsidP="00067406">
      <w:r w:rsidRPr="00067406">
        <w:rPr>
          <w:b/>
          <w:bCs/>
        </w:rPr>
        <w:t>PERCUTANEOUS CORONARY INTERVENTION</w:t>
      </w:r>
    </w:p>
    <w:p w14:paraId="609443C3" w14:textId="77777777" w:rsidR="00067406" w:rsidRPr="00067406" w:rsidRDefault="00067406" w:rsidP="00067406">
      <w:r w:rsidRPr="00067406">
        <w:rPr>
          <w:b/>
          <w:bCs/>
        </w:rPr>
        <w:t>Intravascular lithotripsy for calcified coronary lesions (March 2025)</w:t>
      </w:r>
    </w:p>
    <w:p w14:paraId="32F87525" w14:textId="77777777" w:rsidR="00067406" w:rsidRPr="00067406" w:rsidRDefault="00067406" w:rsidP="00067406">
      <w:r w:rsidRPr="00067406">
        <w:t>Intravascular lithotripsy (IVL) is the newest technique for plaque modification of severely calcified coronary lesions; while IVL is in common use, its efficacy compared with the more established technique of rotational atherectomy (RA) is uncertain. In a trial in which over 170 patients with moderate or severe calcified coronary lesions were randomly assigned to RA, IVL, or excimer laser coronary angioplasty (ELCA), IVL was comparable with RA with respect to the percentage of stent expansion measured by optical coherence tomography, while ELCA was inferior to RA [</w:t>
      </w:r>
      <w:hyperlink r:id="rId14" w:history="1">
        <w:r w:rsidRPr="00067406">
          <w:rPr>
            <w:rStyle w:val="Hyperlink"/>
          </w:rPr>
          <w:t>31</w:t>
        </w:r>
      </w:hyperlink>
      <w:r w:rsidRPr="00067406">
        <w:t>]. While this study supports the use of IVL for calcified lesions, larger studies are necessary to compare the efficacy of IVL and RA with respect to clinically important endpoints. (See </w:t>
      </w:r>
      <w:hyperlink r:id="rId15" w:anchor="H417133277" w:history="1">
        <w:r w:rsidRPr="00067406">
          <w:rPr>
            <w:rStyle w:val="Hyperlink"/>
          </w:rPr>
          <w:t>"Specialized revascularization devices in the management of coronary heart disease", section on 'Shockwave intravascular lithotripsy'</w:t>
        </w:r>
      </w:hyperlink>
      <w:r w:rsidRPr="00067406">
        <w:t>.)</w:t>
      </w:r>
    </w:p>
    <w:p w14:paraId="00B2D61A" w14:textId="77777777" w:rsidR="00067406" w:rsidRPr="00067406" w:rsidRDefault="00067406" w:rsidP="00067406">
      <w:r w:rsidRPr="00067406">
        <w:rPr>
          <w:b/>
          <w:bCs/>
        </w:rPr>
        <w:t>Preprocedural 3DCT for PCI of the ostial RCA (March 2025)</w:t>
      </w:r>
    </w:p>
    <w:p w14:paraId="67CC45C3" w14:textId="77777777" w:rsidR="00067406" w:rsidRPr="00067406" w:rsidRDefault="00067406" w:rsidP="00067406">
      <w:r w:rsidRPr="00067406">
        <w:t>Ostial right coronary artery (RCA) lesions have a high rate of target lesion failure because of geographic stent-ostium mismatch, which may be partly due to unrecognized vessel foreshortening in the working views selected by interventionalists during percutaneous coronary intervention (PCI); whether three-dimensional computed tomography (3DCT) may be useful for preprocedural planning is uncertain. In a trial in 30 patients with ostial RCA stenosis who were randomly assigned to PCI with preprocedural 3DCT or angiography-guided PCI, there was a trend towards a reduction in geographic mismatch in the 3DCT group (0 versus 33 percent, p = 0.06) [</w:t>
      </w:r>
      <w:hyperlink r:id="rId16" w:history="1">
        <w:r w:rsidRPr="00067406">
          <w:rPr>
            <w:rStyle w:val="Hyperlink"/>
          </w:rPr>
          <w:t>32</w:t>
        </w:r>
      </w:hyperlink>
      <w:r w:rsidRPr="00067406">
        <w:t xml:space="preserve">]. The procedural radiation dose, contrast volume, and duration were </w:t>
      </w:r>
      <w:r w:rsidRPr="00067406">
        <w:lastRenderedPageBreak/>
        <w:t>lower in those who underwent 3DCT. A larger study is needed to determine whether preprocedural 3DCT may reduce target lesion failure. (See </w:t>
      </w:r>
      <w:hyperlink r:id="rId17" w:anchor="H7" w:history="1">
        <w:r w:rsidRPr="00067406">
          <w:rPr>
            <w:rStyle w:val="Hyperlink"/>
          </w:rPr>
          <w:t>"Percutaneous coronary intervention of specific coronary lesions", section on 'Ostial lesions'</w:t>
        </w:r>
      </w:hyperlink>
      <w:r w:rsidRPr="00067406">
        <w:t>.)</w:t>
      </w:r>
    </w:p>
    <w:p w14:paraId="3CDF1F1D" w14:textId="77777777" w:rsidR="00067406" w:rsidRPr="00067406" w:rsidRDefault="00067406" w:rsidP="00067406">
      <w:r w:rsidRPr="00067406">
        <w:rPr>
          <w:b/>
          <w:bCs/>
        </w:rPr>
        <w:t>OTHER CARDIOLOGY</w:t>
      </w:r>
    </w:p>
    <w:p w14:paraId="56B97A18" w14:textId="77777777" w:rsidR="00067406" w:rsidRPr="00067406" w:rsidRDefault="00067406" w:rsidP="00067406">
      <w:r w:rsidRPr="00067406">
        <w:rPr>
          <w:b/>
          <w:bCs/>
        </w:rPr>
        <w:t>Anorexia nervosa and cardiovascular conditions (March 2025)</w:t>
      </w:r>
    </w:p>
    <w:p w14:paraId="248DCD67" w14:textId="77777777" w:rsidR="00067406" w:rsidRPr="00067406" w:rsidRDefault="00067406" w:rsidP="00067406">
      <w:r w:rsidRPr="00067406">
        <w:t>Weight loss and malnutrition in anorexia nervosa can lead to comorbidities, including cardiovascular conditions such as cardiomyopathy and conduction disorders. A recent study found that the incidence of any cardiac condition at the five-year follow-up was nearly two times greater in those with anorexia nervosa compared with controls without any eating disorder [</w:t>
      </w:r>
      <w:hyperlink r:id="rId18" w:history="1">
        <w:r w:rsidRPr="00067406">
          <w:rPr>
            <w:rStyle w:val="Hyperlink"/>
          </w:rPr>
          <w:t>40</w:t>
        </w:r>
      </w:hyperlink>
      <w:r w:rsidRPr="00067406">
        <w:t>]. Patients with anorexia nervosa should be monitored for comorbidities, including structural and functional cardiovascular conditions, that may warrant specific management along with nutritional replenishment. (See </w:t>
      </w:r>
      <w:hyperlink r:id="rId19" w:anchor="H1378437163" w:history="1">
        <w:r w:rsidRPr="00067406">
          <w:rPr>
            <w:rStyle w:val="Hyperlink"/>
          </w:rPr>
          <w:t>"Anorexia nervosa in adults and adolescents: Medical complications and their management", section on 'Any cardiovascular condition'</w:t>
        </w:r>
      </w:hyperlink>
      <w:r w:rsidRPr="00067406">
        <w:t>.)</w:t>
      </w:r>
    </w:p>
    <w:p w14:paraId="3B823914" w14:textId="77777777" w:rsidR="00510CCB" w:rsidRPr="00EA4928" w:rsidRDefault="00510CCB" w:rsidP="00EA4928"/>
    <w:sectPr w:rsidR="00510CCB" w:rsidRPr="00EA49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928"/>
    <w:rsid w:val="00067406"/>
    <w:rsid w:val="000B1565"/>
    <w:rsid w:val="0017250E"/>
    <w:rsid w:val="00313F44"/>
    <w:rsid w:val="003C3216"/>
    <w:rsid w:val="004B5628"/>
    <w:rsid w:val="00510CCB"/>
    <w:rsid w:val="008D0060"/>
    <w:rsid w:val="00E577A7"/>
    <w:rsid w:val="00EA4928"/>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99E36"/>
  <w15:chartTrackingRefBased/>
  <w15:docId w15:val="{0D37A7FF-4CCB-442F-9845-15FC3538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49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49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49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49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49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49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49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49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49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9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49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49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49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49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49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49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49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4928"/>
    <w:rPr>
      <w:rFonts w:eastAsiaTheme="majorEastAsia" w:cstheme="majorBidi"/>
      <w:color w:val="272727" w:themeColor="text1" w:themeTint="D8"/>
    </w:rPr>
  </w:style>
  <w:style w:type="paragraph" w:styleId="Title">
    <w:name w:val="Title"/>
    <w:basedOn w:val="Normal"/>
    <w:next w:val="Normal"/>
    <w:link w:val="TitleChar"/>
    <w:uiPriority w:val="10"/>
    <w:qFormat/>
    <w:rsid w:val="00EA49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9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9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49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4928"/>
    <w:pPr>
      <w:spacing w:before="160"/>
      <w:jc w:val="center"/>
    </w:pPr>
    <w:rPr>
      <w:i/>
      <w:iCs/>
      <w:color w:val="404040" w:themeColor="text1" w:themeTint="BF"/>
    </w:rPr>
  </w:style>
  <w:style w:type="character" w:customStyle="1" w:styleId="QuoteChar">
    <w:name w:val="Quote Char"/>
    <w:basedOn w:val="DefaultParagraphFont"/>
    <w:link w:val="Quote"/>
    <w:uiPriority w:val="29"/>
    <w:rsid w:val="00EA4928"/>
    <w:rPr>
      <w:i/>
      <w:iCs/>
      <w:color w:val="404040" w:themeColor="text1" w:themeTint="BF"/>
    </w:rPr>
  </w:style>
  <w:style w:type="paragraph" w:styleId="ListParagraph">
    <w:name w:val="List Paragraph"/>
    <w:basedOn w:val="Normal"/>
    <w:uiPriority w:val="34"/>
    <w:qFormat/>
    <w:rsid w:val="00EA4928"/>
    <w:pPr>
      <w:ind w:left="720"/>
      <w:contextualSpacing/>
    </w:pPr>
  </w:style>
  <w:style w:type="character" w:styleId="IntenseEmphasis">
    <w:name w:val="Intense Emphasis"/>
    <w:basedOn w:val="DefaultParagraphFont"/>
    <w:uiPriority w:val="21"/>
    <w:qFormat/>
    <w:rsid w:val="00EA4928"/>
    <w:rPr>
      <w:i/>
      <w:iCs/>
      <w:color w:val="2F5496" w:themeColor="accent1" w:themeShade="BF"/>
    </w:rPr>
  </w:style>
  <w:style w:type="paragraph" w:styleId="IntenseQuote">
    <w:name w:val="Intense Quote"/>
    <w:basedOn w:val="Normal"/>
    <w:next w:val="Normal"/>
    <w:link w:val="IntenseQuoteChar"/>
    <w:uiPriority w:val="30"/>
    <w:qFormat/>
    <w:rsid w:val="00EA49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4928"/>
    <w:rPr>
      <w:i/>
      <w:iCs/>
      <w:color w:val="2F5496" w:themeColor="accent1" w:themeShade="BF"/>
    </w:rPr>
  </w:style>
  <w:style w:type="character" w:styleId="IntenseReference">
    <w:name w:val="Intense Reference"/>
    <w:basedOn w:val="DefaultParagraphFont"/>
    <w:uiPriority w:val="32"/>
    <w:qFormat/>
    <w:rsid w:val="00EA4928"/>
    <w:rPr>
      <w:b/>
      <w:bCs/>
      <w:smallCaps/>
      <w:color w:val="2F5496" w:themeColor="accent1" w:themeShade="BF"/>
      <w:spacing w:val="5"/>
    </w:rPr>
  </w:style>
  <w:style w:type="character" w:styleId="Hyperlink">
    <w:name w:val="Hyperlink"/>
    <w:basedOn w:val="DefaultParagraphFont"/>
    <w:uiPriority w:val="99"/>
    <w:unhideWhenUsed/>
    <w:rsid w:val="00EA4928"/>
    <w:rPr>
      <w:color w:val="0563C1" w:themeColor="hyperlink"/>
      <w:u w:val="single"/>
    </w:rPr>
  </w:style>
  <w:style w:type="character" w:styleId="UnresolvedMention">
    <w:name w:val="Unresolved Mention"/>
    <w:basedOn w:val="DefaultParagraphFont"/>
    <w:uiPriority w:val="99"/>
    <w:semiHidden/>
    <w:unhideWhenUsed/>
    <w:rsid w:val="00EA4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05399">
      <w:bodyDiv w:val="1"/>
      <w:marLeft w:val="0"/>
      <w:marRight w:val="0"/>
      <w:marTop w:val="0"/>
      <w:marBottom w:val="0"/>
      <w:divBdr>
        <w:top w:val="none" w:sz="0" w:space="0" w:color="auto"/>
        <w:left w:val="none" w:sz="0" w:space="0" w:color="auto"/>
        <w:bottom w:val="none" w:sz="0" w:space="0" w:color="auto"/>
        <w:right w:val="none" w:sz="0" w:space="0" w:color="auto"/>
      </w:divBdr>
    </w:div>
    <w:div w:id="510342625">
      <w:bodyDiv w:val="1"/>
      <w:marLeft w:val="0"/>
      <w:marRight w:val="0"/>
      <w:marTop w:val="0"/>
      <w:marBottom w:val="0"/>
      <w:divBdr>
        <w:top w:val="none" w:sz="0" w:space="0" w:color="auto"/>
        <w:left w:val="none" w:sz="0" w:space="0" w:color="auto"/>
        <w:bottom w:val="none" w:sz="0" w:space="0" w:color="auto"/>
        <w:right w:val="none" w:sz="0" w:space="0" w:color="auto"/>
      </w:divBdr>
    </w:div>
    <w:div w:id="512841476">
      <w:bodyDiv w:val="1"/>
      <w:marLeft w:val="0"/>
      <w:marRight w:val="0"/>
      <w:marTop w:val="0"/>
      <w:marBottom w:val="0"/>
      <w:divBdr>
        <w:top w:val="none" w:sz="0" w:space="0" w:color="auto"/>
        <w:left w:val="none" w:sz="0" w:space="0" w:color="auto"/>
        <w:bottom w:val="none" w:sz="0" w:space="0" w:color="auto"/>
        <w:right w:val="none" w:sz="0" w:space="0" w:color="auto"/>
      </w:divBdr>
    </w:div>
    <w:div w:id="585456191">
      <w:bodyDiv w:val="1"/>
      <w:marLeft w:val="0"/>
      <w:marRight w:val="0"/>
      <w:marTop w:val="0"/>
      <w:marBottom w:val="0"/>
      <w:divBdr>
        <w:top w:val="none" w:sz="0" w:space="0" w:color="auto"/>
        <w:left w:val="none" w:sz="0" w:space="0" w:color="auto"/>
        <w:bottom w:val="none" w:sz="0" w:space="0" w:color="auto"/>
        <w:right w:val="none" w:sz="0" w:space="0" w:color="auto"/>
      </w:divBdr>
    </w:div>
    <w:div w:id="783882364">
      <w:bodyDiv w:val="1"/>
      <w:marLeft w:val="0"/>
      <w:marRight w:val="0"/>
      <w:marTop w:val="0"/>
      <w:marBottom w:val="0"/>
      <w:divBdr>
        <w:top w:val="none" w:sz="0" w:space="0" w:color="auto"/>
        <w:left w:val="none" w:sz="0" w:space="0" w:color="auto"/>
        <w:bottom w:val="none" w:sz="0" w:space="0" w:color="auto"/>
        <w:right w:val="none" w:sz="0" w:space="0" w:color="auto"/>
      </w:divBdr>
    </w:div>
    <w:div w:id="1087994993">
      <w:bodyDiv w:val="1"/>
      <w:marLeft w:val="0"/>
      <w:marRight w:val="0"/>
      <w:marTop w:val="0"/>
      <w:marBottom w:val="0"/>
      <w:divBdr>
        <w:top w:val="none" w:sz="0" w:space="0" w:color="auto"/>
        <w:left w:val="none" w:sz="0" w:space="0" w:color="auto"/>
        <w:bottom w:val="none" w:sz="0" w:space="0" w:color="auto"/>
        <w:right w:val="none" w:sz="0" w:space="0" w:color="auto"/>
      </w:divBdr>
    </w:div>
    <w:div w:id="1115751728">
      <w:bodyDiv w:val="1"/>
      <w:marLeft w:val="0"/>
      <w:marRight w:val="0"/>
      <w:marTop w:val="0"/>
      <w:marBottom w:val="0"/>
      <w:divBdr>
        <w:top w:val="none" w:sz="0" w:space="0" w:color="auto"/>
        <w:left w:val="none" w:sz="0" w:space="0" w:color="auto"/>
        <w:bottom w:val="none" w:sz="0" w:space="0" w:color="auto"/>
        <w:right w:val="none" w:sz="0" w:space="0" w:color="auto"/>
      </w:divBdr>
    </w:div>
    <w:div w:id="1198423655">
      <w:bodyDiv w:val="1"/>
      <w:marLeft w:val="0"/>
      <w:marRight w:val="0"/>
      <w:marTop w:val="0"/>
      <w:marBottom w:val="0"/>
      <w:divBdr>
        <w:top w:val="none" w:sz="0" w:space="0" w:color="auto"/>
        <w:left w:val="none" w:sz="0" w:space="0" w:color="auto"/>
        <w:bottom w:val="none" w:sz="0" w:space="0" w:color="auto"/>
        <w:right w:val="none" w:sz="0" w:space="0" w:color="auto"/>
      </w:divBdr>
    </w:div>
    <w:div w:id="1482575016">
      <w:bodyDiv w:val="1"/>
      <w:marLeft w:val="0"/>
      <w:marRight w:val="0"/>
      <w:marTop w:val="0"/>
      <w:marBottom w:val="0"/>
      <w:divBdr>
        <w:top w:val="none" w:sz="0" w:space="0" w:color="auto"/>
        <w:left w:val="none" w:sz="0" w:space="0" w:color="auto"/>
        <w:bottom w:val="none" w:sz="0" w:space="0" w:color="auto"/>
        <w:right w:val="none" w:sz="0" w:space="0" w:color="auto"/>
      </w:divBdr>
    </w:div>
    <w:div w:id="20532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warfarin-drug-information?topicRef=8353&amp;source=see_link" TargetMode="External"/><Relationship Id="rId13" Type="http://schemas.openxmlformats.org/officeDocument/2006/relationships/hyperlink" Target="https://www4.utdos.ir/contents/indications-for-bedside-ultrasonography-in-the-critically-ill-adult-patient?sectionName=INTRODUCTION&amp;topicRef=8353&amp;anchor=H13030268&amp;source=see_link" TargetMode="External"/><Relationship Id="rId18" Type="http://schemas.openxmlformats.org/officeDocument/2006/relationships/hyperlink" Target="https://www4.utdos.ir/contents/whats-new-in-cardiovascular-medicine/abstract/40"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4.utdos.ir/contents/permanent-cardiac-pacing-overview-of-devices-and-indications?sectionName=Conduction%20system%20%28His%20or%20left%20bundle%29%20pacing&amp;topicRef=8353&amp;anchor=H2800492086&amp;source=see_link" TargetMode="External"/><Relationship Id="rId12" Type="http://schemas.openxmlformats.org/officeDocument/2006/relationships/hyperlink" Target="https://www4.utdos.ir/contents/whats-new-in-cardiovascular-medicine/abstract/16" TargetMode="External"/><Relationship Id="rId17" Type="http://schemas.openxmlformats.org/officeDocument/2006/relationships/hyperlink" Target="https://www4.utdos.ir/contents/percutaneous-coronary-intervention-of-specific-coronary-lesions?sectionName=Ostial%20lesions&amp;topicRef=8353&amp;anchor=H7&amp;source=see_link" TargetMode="External"/><Relationship Id="rId2" Type="http://schemas.openxmlformats.org/officeDocument/2006/relationships/settings" Target="settings.xml"/><Relationship Id="rId16" Type="http://schemas.openxmlformats.org/officeDocument/2006/relationships/hyperlink" Target="https://www4.utdos.ir/contents/whats-new-in-cardiovascular-medicine/abstract/32"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4.utdos.ir/contents/whats-new-in-cardiovascular-medicine/abstract/2" TargetMode="External"/><Relationship Id="rId11" Type="http://schemas.openxmlformats.org/officeDocument/2006/relationships/hyperlink" Target="https://www4.utdos.ir/contents/risks-and-prevention-of-bleeding-with-oral-anticoagulants?sectionName=Drug%20class&amp;topicRef=8353&amp;anchor=H398712348&amp;source=see_link" TargetMode="External"/><Relationship Id="rId5" Type="http://schemas.openxmlformats.org/officeDocument/2006/relationships/hyperlink" Target="https://www4.utdos.ir/contents/spontaneous-intracerebral-hemorrhage-secondary-prevention-and-long-term-prognosis?sectionName=Therapeutic%20options&amp;topicRef=8353&amp;anchor=H172077892&amp;source=see_link" TargetMode="External"/><Relationship Id="rId15" Type="http://schemas.openxmlformats.org/officeDocument/2006/relationships/hyperlink" Target="https://www4.utdos.ir/contents/specialized-revascularization-devices-in-the-management-of-coronary-heart-disease?sectionName=SHOCKWAVE%20INTRAVASCULAR%20LITHOTRIPSY&amp;topicRef=8353&amp;anchor=H417133277&amp;source=see_link" TargetMode="External"/><Relationship Id="rId10" Type="http://schemas.openxmlformats.org/officeDocument/2006/relationships/hyperlink" Target="https://www4.utdos.ir/contents/whats-new-in-cardiovascular-medicine/abstract/3" TargetMode="External"/><Relationship Id="rId19" Type="http://schemas.openxmlformats.org/officeDocument/2006/relationships/hyperlink" Target="https://www4.utdos.ir/contents/anorexia-nervosa-in-adults-and-adolescents-medical-complications-and-their-management?sectionName=Any%20cardiovascular%20condition&amp;topicRef=8353&amp;anchor=H1378437163&amp;source=see_link" TargetMode="External"/><Relationship Id="rId4" Type="http://schemas.openxmlformats.org/officeDocument/2006/relationships/hyperlink" Target="https://www4.utdos.ir/contents/whats-new-in-cardiovascular-medicine/abstract/1" TargetMode="External"/><Relationship Id="rId9" Type="http://schemas.openxmlformats.org/officeDocument/2006/relationships/hyperlink" Target="https://www4.utdos.ir/contents/aspirin-drug-information?topicRef=8353&amp;source=see_link" TargetMode="External"/><Relationship Id="rId14" Type="http://schemas.openxmlformats.org/officeDocument/2006/relationships/hyperlink" Target="https://www4.utdos.ir/contents/whats-new-in-cardiovascular-medicine/abstract/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2</cp:revision>
  <dcterms:created xsi:type="dcterms:W3CDTF">2025-03-30T06:07:00Z</dcterms:created>
  <dcterms:modified xsi:type="dcterms:W3CDTF">2025-03-30T06:16:00Z</dcterms:modified>
</cp:coreProperties>
</file>